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2.png" ContentType="image/png"/>
  <Override PartName="/word/media/rId173.png" ContentType="image/png"/>
  <Override PartName="/word/media/rId176.png" ContentType="image/png"/>
  <Override PartName="/word/media/rId179.png" ContentType="image/png"/>
  <Override PartName="/word/media/rId185.png" ContentType="image/png"/>
  <Override PartName="/word/media/rId188.png" ContentType="image/png"/>
  <Override PartName="/word/media/rId170.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then,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by relatively privileged migrants from progressive contexts at greater rates.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same-sex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Additional research documents how people in comparatively oppressive contexts seek out partners in more equitable locations, like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the pathway of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Third, these factors may combine to make those coming from countries with progressive policies more legible to migration officials determining access to visas as the enactment of the sexuality and relationship may align more closely to dominant expressions within the U.S.</w:t>
      </w:r>
      <w:r>
        <w:t xml:space="preserve"> </w:t>
      </w:r>
      <w:r>
        <w:t xml:space="preserve">(Edwards, 2013)</w:t>
      </w:r>
      <w:r>
        <w:t xml:space="preserve">.</w:t>
      </w:r>
    </w:p>
    <w:p>
      <w:pPr>
        <w:pStyle w:val="BodyText"/>
      </w:pPr>
      <w:r>
        <w:t xml:space="preserve">Migration from progressive policy contexts can also align with traditional migration theories. The cost-benefit analysis inherent in neoclassical economic theory could imply that migrants coming from progressive contexts enjoy greater resources and hence face relatively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We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also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(country of origin minus U.S.),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Statistics for the unemployment rate differential (Panel B) indicate similar trends: compared to the countries of origin for immigrants in different-sex,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w:t>
      </w:r>
      <w:r>
        <w:t xml:space="preserve"> </w:t>
      </w:r>
      <w:r>
        <w:t xml:space="preserve">7</w:t>
      </w:r>
      <w:r>
        <w:t xml:space="preserve"> </w:t>
      </w:r>
      <w:r>
        <w:t xml:space="preserve">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seekers.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 Indeed, the DOMA decision now opens up a new pathway for sexual migration to occur</w:t>
      </w:r>
      <w:r>
        <w:t xml:space="preserve"> </w:t>
      </w:r>
      <w:r>
        <w:t xml:space="preserve">(Carrillo, 2018)</w:t>
      </w:r>
      <w:r>
        <w:t xml:space="preserve">.</w:t>
      </w:r>
    </w:p>
    <w:p>
      <w:pPr>
        <w:pStyle w:val="BodyText"/>
      </w:pPr>
      <w:r>
        <w:t xml:space="preserve">To address our research questions, 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several important contributions to the literature. First, existing scholarship on immigrants in same-sex couples, and queer migration more broadly, is mostly qualitative. Consequently, it is unclear which patterns these studies illuminate generalize across the full population of immigrants in cohabiting, same-sex couples within the U.S. Furthermore, current queer migration scholarship largely focuses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countries</w:t>
      </w:r>
      <w:r>
        <w:t xml:space="preserve"> </w:t>
      </w:r>
      <w:r>
        <w:t xml:space="preserve">(Carrillo, 2018; Choi, 2022; Kong, 2010; Manalansan IV, 2003; Vuckovic Juros, 2022)</w:t>
      </w:r>
      <w:r>
        <w:t xml:space="preserve">. Though such studies are not seeking generalizability, this emphasis within queer migration scholarship can leave an impression that migrating from repressive to relatively more progressive contexts (either real or imagined) is typical. As such, while these experiences certainly occur, such an emphasis potentially distorts our understanding of who these immigrants are, the types of environments they are coming from, and their motivations to seek entry into the U.S. Indeed, when comparing the demographics of same-sex immigrant couples to different-sex immigrant couples, we find those in same-sex couples generally have higher incomes and occupational prestige and are somewhat more educated.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couples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couples are coming from environments that are increasingly more open. This is true even after accounting for factors from long-standing migration models. Though more research is needed, these results, in conjunction with the fact that these same-sex couples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immigrants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within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to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one-immigrants and two-immigrant couples in the Online Appendix, we do not fully assess the distinctions between these types of LGB couples as our primary emphasis is contrasting same- and different-sex couples originating in the same country. However, it is understandable that one-immigrant couples seem to be driving the results, as one partner must be either a U.S. citizen or permanent resident in order to acquire a spousal or fiancé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w:t>
      </w:r>
      <w:r>
        <w:t xml:space="preserve">. 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5"/>
    <w:bookmarkStart w:id="168" w:name="references"/>
    <w:p>
      <w:pPr>
        <w:pStyle w:val="Heading1"/>
      </w:pPr>
      <w:r>
        <w:t xml:space="preserve">References</w:t>
      </w:r>
    </w:p>
    <w:p>
      <w:pPr>
        <w:pStyle w:val="FirstParagraph"/>
      </w:pPr>
    </w:p>
    <w:bookmarkStart w:id="167"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6"/>
    <w:bookmarkStart w:id="97"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7"/>
    <w:bookmarkStart w:id="98"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8"/>
    <w:bookmarkStart w:id="100"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9">
        <w:r>
          <w:rPr>
            <w:rStyle w:val="Hyperlink"/>
          </w:rPr>
          <w:t xml:space="preserve">https://doi.org/10.1080/14649360902853262</w:t>
        </w:r>
      </w:hyperlink>
    </w:p>
    <w:bookmarkEnd w:id="100"/>
    <w:bookmarkStart w:id="101"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1"/>
    <w:bookmarkStart w:id="103"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2">
        <w:r>
          <w:rPr>
            <w:rStyle w:val="Hyperlink"/>
          </w:rPr>
          <w:t xml:space="preserve">https://doi.org/10.7551/mitpress/3303.001.0001</w:t>
        </w:r>
      </w:hyperlink>
    </w:p>
    <w:bookmarkEnd w:id="103"/>
    <w:bookmarkStart w:id="104"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4"/>
    <w:bookmarkStart w:id="105"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5"/>
    <w:bookmarkStart w:id="107"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6">
        <w:r>
          <w:rPr>
            <w:rStyle w:val="Hyperlink"/>
          </w:rPr>
          <w:t xml:space="preserve">https://doi.org/10.2307/2546998</w:t>
        </w:r>
      </w:hyperlink>
    </w:p>
    <w:bookmarkEnd w:id="107"/>
    <w:bookmarkStart w:id="108"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1">
        <w:r>
          <w:rPr>
            <w:rStyle w:val="Hyperlink"/>
          </w:rPr>
          <w:t xml:space="preserve">https://doi.org/10.4324/9780203849200</w:t>
        </w:r>
      </w:hyperlink>
    </w:p>
    <w:bookmarkEnd w:id="112"/>
    <w:bookmarkStart w:id="113"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3"/>
    <w:bookmarkStart w:id="114"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4"/>
    <w:bookmarkStart w:id="116"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5">
        <w:r>
          <w:rPr>
            <w:rStyle w:val="Hyperlink"/>
          </w:rPr>
          <w:t xml:space="preserve">https://doi.org/10.1177/1363460714552251</w:t>
        </w:r>
      </w:hyperlink>
    </w:p>
    <w:bookmarkEnd w:id="116"/>
    <w:bookmarkStart w:id="118"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7">
        <w:r>
          <w:rPr>
            <w:rStyle w:val="Hyperlink"/>
          </w:rPr>
          <w:t xml:space="preserve">https://doi.org/10.1215/10642684-2007-029</w:t>
        </w:r>
      </w:hyperlink>
    </w:p>
    <w:bookmarkEnd w:id="118"/>
    <w:bookmarkStart w:id="119"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9"/>
    <w:bookmarkStart w:id="121"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0">
        <w:r>
          <w:rPr>
            <w:rStyle w:val="Hyperlink"/>
          </w:rPr>
          <w:t xml:space="preserve">https://doi.org/10.1080/17450100903195318</w:t>
        </w:r>
      </w:hyperlink>
    </w:p>
    <w:bookmarkEnd w:id="121"/>
    <w:bookmarkStart w:id="122"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2"/>
    <w:bookmarkStart w:id="12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3">
        <w:r>
          <w:rPr>
            <w:rStyle w:val="Hyperlink"/>
          </w:rPr>
          <w:t xml:space="preserve">https://doi.org/10.1007/s12122-020-09305-4</w:t>
        </w:r>
      </w:hyperlink>
    </w:p>
    <w:bookmarkEnd w:id="124"/>
    <w:bookmarkStart w:id="12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5">
        <w:r>
          <w:rPr>
            <w:rStyle w:val="Hyperlink"/>
          </w:rPr>
          <w:t xml:space="preserve">https://doi.org/10.2307/3644186</w:t>
        </w:r>
      </w:hyperlink>
    </w:p>
    <w:bookmarkEnd w:id="126"/>
    <w:bookmarkStart w:id="127"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7"/>
    <w:bookmarkStart w:id="129"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8">
        <w:r>
          <w:rPr>
            <w:rStyle w:val="Hyperlink"/>
          </w:rPr>
          <w:t xml:space="preserve">https://doi.org/10.2139/ssrn.1994531</w:t>
        </w:r>
      </w:hyperlink>
    </w:p>
    <w:bookmarkEnd w:id="129"/>
    <w:bookmarkStart w:id="130"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0"/>
    <w:bookmarkStart w:id="131"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1"/>
    <w:bookmarkStart w:id="132"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32"/>
    <w:bookmarkStart w:id="133"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3"/>
    <w:bookmarkStart w:id="134"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4"/>
    <w:bookmarkStart w:id="136"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5">
        <w:r>
          <w:rPr>
            <w:rStyle w:val="Hyperlink"/>
          </w:rPr>
          <w:t xml:space="preserve">https://doi.org/10.1080/13691058.2016.1184314</w:t>
        </w:r>
      </w:hyperlink>
    </w:p>
    <w:bookmarkEnd w:id="136"/>
    <w:bookmarkStart w:id="138"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7">
        <w:r>
          <w:rPr>
            <w:rStyle w:val="Hyperlink"/>
          </w:rPr>
          <w:t xml:space="preserve">https://doi.org/10.31235/osf.io/mzuwe</w:t>
        </w:r>
      </w:hyperlink>
    </w:p>
    <w:bookmarkEnd w:id="138"/>
    <w:bookmarkStart w:id="140"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9">
        <w:r>
          <w:rPr>
            <w:rStyle w:val="Hyperlink"/>
          </w:rPr>
          <w:t xml:space="preserve">https://doi.org/10.1093/migration/mnab007</w:t>
        </w:r>
      </w:hyperlink>
    </w:p>
    <w:bookmarkEnd w:id="140"/>
    <w:bookmarkStart w:id="141"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1"/>
    <w:bookmarkStart w:id="143"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2">
        <w:r>
          <w:rPr>
            <w:rStyle w:val="Hyperlink"/>
          </w:rPr>
          <w:t xml:space="preserve">https://doi.org/10.1080/19436149.2020.1704501</w:t>
        </w:r>
      </w:hyperlink>
    </w:p>
    <w:bookmarkEnd w:id="143"/>
    <w:bookmarkStart w:id="145"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4">
        <w:r>
          <w:rPr>
            <w:rStyle w:val="Hyperlink"/>
          </w:rPr>
          <w:t xml:space="preserve">https://doi.org/10.1080/09518398.2015.1017858</w:t>
        </w:r>
      </w:hyperlink>
    </w:p>
    <w:bookmarkEnd w:id="145"/>
    <w:bookmarkStart w:id="147"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6">
        <w:r>
          <w:rPr>
            <w:rStyle w:val="Hyperlink"/>
          </w:rPr>
          <w:t xml:space="preserve">https://doi.org/10.1086/258726</w:t>
        </w:r>
      </w:hyperlink>
    </w:p>
    <w:bookmarkEnd w:id="147"/>
    <w:bookmarkStart w:id="148"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8"/>
    <w:bookmarkStart w:id="149"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9"/>
    <w:bookmarkStart w:id="150"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0"/>
    <w:bookmarkStart w:id="152"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1">
        <w:r>
          <w:rPr>
            <w:rStyle w:val="Hyperlink"/>
          </w:rPr>
          <w:t xml:space="preserve">https://doi.org/10.1080/1369183X.2019.1690980</w:t>
        </w:r>
      </w:hyperlink>
    </w:p>
    <w:bookmarkEnd w:id="152"/>
    <w:bookmarkStart w:id="154"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3">
        <w:r>
          <w:rPr>
            <w:rStyle w:val="Hyperlink"/>
          </w:rPr>
          <w:t xml:space="preserve">https://doi.org/10.1111/1468-2435.00066</w:t>
        </w:r>
      </w:hyperlink>
    </w:p>
    <w:bookmarkEnd w:id="154"/>
    <w:bookmarkStart w:id="155"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5"/>
    <w:bookmarkStart w:id="156"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6"/>
    <w:bookmarkStart w:id="157"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7"/>
    <w:bookmarkStart w:id="159"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8">
        <w:r>
          <w:rPr>
            <w:rStyle w:val="Hyperlink"/>
          </w:rPr>
          <w:t xml:space="preserve">https://doi.org/10.1093/sf/soy030</w:t>
        </w:r>
      </w:hyperlink>
    </w:p>
    <w:bookmarkEnd w:id="159"/>
    <w:bookmarkStart w:id="161"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0">
        <w:r>
          <w:rPr>
            <w:rStyle w:val="Hyperlink"/>
          </w:rPr>
          <w:t xml:space="preserve">https://doi.org/10.1111/lasr.12239</w:t>
        </w:r>
      </w:hyperlink>
    </w:p>
    <w:bookmarkEnd w:id="161"/>
    <w:bookmarkStart w:id="163"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2">
        <w:r>
          <w:rPr>
            <w:rStyle w:val="Hyperlink"/>
          </w:rPr>
          <w:t xml:space="preserve">https://doi.org/10.1177/13634607221103207</w:t>
        </w:r>
      </w:hyperlink>
    </w:p>
    <w:bookmarkEnd w:id="163"/>
    <w:bookmarkStart w:id="165"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4">
        <w:r>
          <w:rPr>
            <w:rStyle w:val="Hyperlink"/>
          </w:rPr>
          <w:t xml:space="preserve">https://doi.org/10.1111/j.1467-8330.2011.00876.x</w:t>
        </w:r>
      </w:hyperlink>
    </w:p>
    <w:bookmarkEnd w:id="165"/>
    <w:bookmarkStart w:id="166"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6"/>
    <w:bookmarkEnd w:id="167"/>
    <w:p>
      <w:r>
        <w:br w:type="page"/>
      </w:r>
    </w:p>
    <w:bookmarkEnd w:id="168"/>
    <w:bookmarkStart w:id="169" w:name="tables"/>
    <w:p>
      <w:pPr>
        <w:pStyle w:val="Heading1"/>
      </w:pPr>
      <w:r>
        <w:t xml:space="preserve">Tables</w:t>
      </w:r>
    </w:p>
    <w:p>
      <w:pPr>
        <w:pStyle w:val="TableCaption"/>
      </w:pPr>
      <w:r>
        <w:t xml:space="preserve">Table 1:</w:t>
      </w:r>
      <w:r>
        <w:t xml:space="preserve"> </w:t>
      </w:r>
      <w:bookmarkStart w:id="445d303e-8775-4c3a-b256-35b87cd0a228" w:name="tab:country-tab"/>
      <w:r>
        <w:t xml:space="preserve">Sending countries ranked by proportion immigrant couples with same-sex partners</w:t>
      </w:r>
      <w:bookmarkEnd w:id="445d303e-8775-4c3a-b256-35b87cd0a2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6807dc14-d40f-488b-abaa-dd7fb76bb0dc" w:name="tab:state-tab"/>
      <w:r>
        <w:t xml:space="preserve">States ranked by proportion immigrant couples with same-sex partners</w:t>
      </w:r>
      <w:bookmarkEnd w:id="6807dc14-d40f-488b-abaa-dd7fb76bb0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176e31a4-662b-46d4-b28d-09e6c4443207" w:name="tab:state-props"/>
      <w:r>
        <w:t xml:space="preserve">Percent same-sex in by country of origin, U.S. state, and survey year.</w:t>
      </w:r>
      <w:bookmarkEnd w:id="176e31a4-662b-46d4-b28d-09e6c44432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9"/>
    <w:bookmarkStart w:id="191"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1" name="Picture"/>
            <a:graphic>
              <a:graphicData uri="http://schemas.openxmlformats.org/drawingml/2006/picture">
                <pic:pic>
                  <pic:nvPicPr>
                    <pic:cNvPr descr="ssimm_desc_files/figure-docx/total-pop-1.png" id="172" name="Picture"/>
                    <pic:cNvPicPr>
                      <a:picLocks noChangeArrowheads="1" noChangeAspect="1"/>
                    </pic:cNvPicPr>
                  </pic:nvPicPr>
                  <pic:blipFill>
                    <a:blip r:embed="rId17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4" name="Picture"/>
            <a:graphic>
              <a:graphicData uri="http://schemas.openxmlformats.org/drawingml/2006/picture">
                <pic:pic>
                  <pic:nvPicPr>
                    <pic:cNvPr descr="ssimm_desc_files/figure-docx/desc-country-1.png" id="175" name="Picture"/>
                    <pic:cNvPicPr>
                      <a:picLocks noChangeArrowheads="1" noChangeAspect="1"/>
                    </pic:cNvPicPr>
                  </pic:nvPicPr>
                  <pic:blipFill>
                    <a:blip r:embed="rId173"/>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7" name="Picture"/>
            <a:graphic>
              <a:graphicData uri="http://schemas.openxmlformats.org/drawingml/2006/picture">
                <pic:pic>
                  <pic:nvPicPr>
                    <pic:cNvPr descr="ssimm_desc_files/figure-docx/desc-ind-1.png" id="178" name="Picture"/>
                    <pic:cNvPicPr>
                      <a:picLocks noChangeArrowheads="1" noChangeAspect="1"/>
                    </pic:cNvPicPr>
                  </pic:nvPicPr>
                  <pic:blipFill>
                    <a:blip r:embed="rId17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0" name="Picture"/>
            <a:graphic>
              <a:graphicData uri="http://schemas.openxmlformats.org/drawingml/2006/picture">
                <pic:pic>
                  <pic:nvPicPr>
                    <pic:cNvPr descr="ssimm_desc_files/figure-docx/policy-desc-1.png" id="181" name="Picture"/>
                    <pic:cNvPicPr>
                      <a:picLocks noChangeArrowheads="1" noChangeAspect="1"/>
                    </pic:cNvPicPr>
                  </pic:nvPicPr>
                  <pic:blipFill>
                    <a:blip r:embed="rId17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3" name="Picture"/>
            <a:graphic>
              <a:graphicData uri="http://schemas.openxmlformats.org/drawingml/2006/picture">
                <pic:pic>
                  <pic:nvPicPr>
                    <pic:cNvPr descr="ssimm_desc_files/figure-docx/country-map-1.png" id="184"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6" name="Picture"/>
            <a:graphic>
              <a:graphicData uri="http://schemas.openxmlformats.org/drawingml/2006/picture">
                <pic:pic>
                  <pic:nvPicPr>
                    <pic:cNvPr descr="ssimm_desc_files/figure-docx/state-map-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89" name="Picture"/>
            <a:graphic>
              <a:graphicData uri="http://schemas.openxmlformats.org/drawingml/2006/picture">
                <pic:pic>
                  <pic:nvPicPr>
                    <pic:cNvPr descr="ssimm_desc_files/figure-docx/state-sim-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1"/>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70" Target="media/rId170.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2022-10-19T17:56:22Z</dcterms:created>
  <dcterms:modified xsi:type="dcterms:W3CDTF">2022-10-19T17:56:22Z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zotero2.bib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